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Общество с ограниченной ответственностью «Квантрон Групп»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(ООО «Квантрон Групп»)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 УСТРОЙСТВО КОМПЛЕКТНОЕ: ПРОГРАММНО-АППАРАТНЫЙ КОМПЛЕКС «СИСТЕМА МАРКИРОВКИ И УЧЕТА ПРОДУКЦИИ KVANTRON SMART»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ПРОГРАММНОЕ ОБЕСПЕЧЕНИЕ «KVANTRON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  <w14:ligatures w14:val="none"/>
        </w:rPr>
        <w:t xml:space="preserve">AUTHORIZATION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Руководство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пользователя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Листов </w:t>
      </w:r>
      <w:fldSimple w:instr="NUMPAGES \* MERGEFORMAT">
        <w:r>
          <w:rPr>
            <w:rFonts w:ascii="Times New Roman" w:hAnsi="Times New Roman" w:eastAsia="Times New Roman" w:cs="Times New Roman"/>
            <w:color w:val="000000"/>
            <w:sz w:val="28"/>
            <w:szCs w:val="28"/>
            <w:lang w:eastAsia="ru-RU"/>
            <w14:ligatures w14:val="none"/>
          </w:rPr>
          <w:t xml:space="preserve">21</w:t>
        </w:r>
      </w:fldSimple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6379"/>
        <w:jc w:val="both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spacing w:after="0" w:line="235" w:lineRule="atLeast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/>
        <w:t xml:space="preserve"> 2025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 w:type="page" w:clear="all"/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jc w:val="center"/>
        <w:keepLines/>
        <w:keepNext/>
        <w:spacing w:after="0" w:line="360" w:lineRule="auto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  <w14:ligatures w14:val="none"/>
        </w:rPr>
        <w:outlineLvl w:val="0"/>
      </w:pPr>
      <w:r/>
      <w:bookmarkStart w:id="1" w:name="_Toc1"/>
      <w:r>
        <w:rPr>
          <w:rFonts w:ascii="Times New Roman" w:hAnsi="Times New Roman" w:eastAsia="Times New Roman" w:cs="Times New Roman"/>
          <w:b/>
          <w:bCs/>
          <w:color w:val="000000"/>
          <w:sz w:val="40"/>
          <w:szCs w:val="40"/>
          <w:lang w:eastAsia="ru-RU"/>
          <w14:ligatures w14:val="none"/>
        </w:rPr>
        <w:t xml:space="preserve">Аннотация</w:t>
      </w:r>
      <w:bookmarkEnd w:id="1"/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  <w14:ligatures w14:val="none"/>
        </w:rPr>
      </w:r>
    </w:p>
    <w:p>
      <w:pPr>
        <w:pStyle w:val="839"/>
        <w:rPr>
          <w:rStyle w:val="840"/>
          <w:lang w:eastAsia="ru-RU"/>
          <w14:ligatures w14:val="none"/>
        </w:rPr>
        <w:suppressLineNumbers w:val="0"/>
      </w:pPr>
      <w:r>
        <w:rPr>
          <w:rStyle w:val="840"/>
          <w:lang w:eastAsia="ru-RU"/>
        </w:rPr>
        <w:t xml:space="preserve">Настоящее руководство пользователя описывает порядок работы с системой авторизации в комплексе «Kvantron Smart».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39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suppressLineNumbers w:val="0"/>
      </w:pPr>
      <w:r>
        <w:rPr>
          <w:rStyle w:val="840"/>
          <w:lang w:eastAsia="ru-RU"/>
        </w:rPr>
        <w:t xml:space="preserve">В документе приведены инструкции по первоначальной настройке, регистрации, входу в систему, добавлению пользователей и сбросу пароля.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contextualSpacing w:val="0"/>
        <w:ind w:left="0" w:right="0" w:firstLine="709"/>
        <w:jc w:val="center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br w:type="page" w:clear="all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lang w:eastAsia="ru-RU"/>
          <w14:ligatures w14:val="none"/>
        </w:rPr>
        <w:t xml:space="preserve">Содержание</w:t>
      </w:r>
      <w:r/>
      <w:r/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>
          <w:rFonts w:ascii="Times New Roman" w:hAnsi="Times New Roman" w:cs="Times New Roman"/>
        </w:rPr>
      </w:sdtPr>
      <w:sdtContent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b/>
              <w:bCs/>
              <w:sz w:val="28"/>
              <w:szCs w:val="28"/>
              <w14:ligatures w14:val="none"/>
            </w:rPr>
          </w:pPr>
          <w:r>
            <w:rPr>
              <w:rFonts w:ascii="Times New Roman" w:hAnsi="Times New Roman" w:cs="Times New Roman"/>
            </w:rPr>
          </w:r>
          <w:r>
            <w:fldChar w:fldCharType="begin"/>
            <w:instrText xml:space="preserve">TOC \o "1-9" \h </w:instrText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8"/>
              <w:szCs w:val="28"/>
              <w:lang w:eastAsia="ru-RU"/>
              <w14:ligatures w14:val="none"/>
            </w:rPr>
          </w:r>
          <w:hyperlink w:tooltip="#_Toc2" w:anchor="_Toc2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1. Назначение программы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b/>
              <w:bCs/>
              <w:sz w:val="28"/>
              <w:szCs w:val="28"/>
              <w14:ligatures w14:val="none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  <w14:ligatures w14:val="none"/>
            </w:rPr>
          </w:r>
        </w:p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3" w:anchor="_Toc3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2. Системные требования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_Toc3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4" w:anchor="_Toc4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3. Первый запуск и регистрация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_Toc4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5" w:anchor="_Toc5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4. Вход в систему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_Toc5 \h</w:instrText>
              <w:fldChar w:fldCharType="separate"/>
              <w:t xml:space="preserve">9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6" w:anchor="_Toc6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5. Выход из системы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_Toc6 \h</w:instrText>
              <w:fldChar w:fldCharType="separate"/>
              <w:t xml:space="preserve">11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7" w:anchor="_Toc7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6. Добавление новых пользователей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_Toc7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0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8" w:anchor="_Toc8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7. Сброс пароля (переустановка Authorize)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_Toc8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1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9" w:anchor="_Toc9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7.1. Запуск лаунчера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_Toc9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1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10" w:anchor="_Toc10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7.2. Остановка сервиса авторизации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_Toc10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1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11" w:anchor="_Toc11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7.3. Удаление файлов базы данных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_Toc11 \h</w:instrText>
              <w:fldChar w:fldCharType="separate"/>
              <w:t xml:space="preserve">19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1"/>
            <w:tabs>
              <w:tab w:val="right" w:pos="9355" w:leader="dot"/>
            </w:tabs>
            <w:rPr>
              <w:rFonts w:ascii="Times New Roman" w:hAnsi="Times New Roman" w:cs="Times New Roman"/>
              <w:sz w:val="28"/>
              <w:szCs w:val="28"/>
            </w:rPr>
          </w:pPr>
          <w:r/>
          <w:hyperlink w:tooltip="#_Toc12" w:anchor="_Toc12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7.4. Запуск сервиса авторизации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_Toc12 \h</w:instrText>
              <w:fldChar w:fldCharType="separate"/>
              <w:t xml:space="preserve">20</w:t>
              <w:fldChar w:fldCharType="end"/>
            </w:r>
          </w:hyperlink>
          <w:r>
            <w:rPr>
              <w:rFonts w:ascii="Times New Roman" w:hAnsi="Times New Roman" w:eastAsia="Times New Roman" w:cs="Times New Roman"/>
              <w:sz w:val="28"/>
              <w:szCs w:val="28"/>
            </w:rPr>
          </w:r>
          <w:r>
            <w:rPr>
              <w:rFonts w:ascii="Times New Roman" w:hAnsi="Times New Roman" w:cs="Times New Roman"/>
              <w:sz w:val="28"/>
              <w:szCs w:val="28"/>
            </w:rPr>
          </w:r>
        </w:p>
        <w:p>
          <w:pPr>
            <w:pStyle w:val="851"/>
            <w:tabs>
              <w:tab w:val="right" w:pos="9355" w:leader="dot"/>
            </w:tabs>
          </w:pPr>
          <w:r/>
          <w:hyperlink w:tooltip="#_Toc13" w:anchor="_Toc13" w:history="1">
            <w:r>
              <w:rPr>
                <w:rStyle w:val="852"/>
                <w:rFonts w:ascii="Times New Roman" w:hAnsi="Times New Roman" w:eastAsia="Times New Roman" w:cs="Times New Roman"/>
              </w:rPr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  <w:t xml:space="preserve">7.5. Проверка результата</w:t>
            </w:r>
            <w:r>
              <w:rPr>
                <w:rStyle w:val="852"/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fldChar w:fldCharType="begin"/>
              <w:instrText xml:space="preserve">PAGEREF _Toc13 \h</w:instrText>
              <w:fldChar w:fldCharType="separate"/>
              <w:t xml:space="preserve">20</w:t>
              <w:fldChar w:fldCharType="end"/>
            </w:r>
          </w:hyperlink>
          <w:r>
            <w:rPr>
              <w:sz w:val="28"/>
              <w:szCs w:val="28"/>
            </w:rPr>
          </w:r>
          <w:r/>
        </w:p>
        <w:p>
          <w:pPr>
            <w:rPr>
              <w:rFonts w:ascii="Times New Roman" w:hAnsi="Times New Roman" w:cs="Times New Roman"/>
            </w:rPr>
          </w:pPr>
          <w:r>
            <w:fldChar w:fldCharType="end"/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</w:sdtContent>
    </w:sdt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2"/>
      </w:pPr>
      <w:r/>
      <w:bookmarkStart w:id="2" w:name="_Toc2"/>
      <w:r>
        <w:t xml:space="preserve">1. Назначение программы</w:t>
      </w:r>
      <w:bookmarkEnd w:id="2"/>
      <w:r/>
      <w:r/>
    </w:p>
    <w:p>
      <w:pPr>
        <w:pStyle w:val="839"/>
      </w:pPr>
      <w:r>
        <w:t xml:space="preserve">Прогр</w:t>
      </w:r>
      <w:r>
        <w:t xml:space="preserve">аммное обеспечение «Kvantron Smart» представляет собой комплекс приложений, предназначенных для централизованного управления оборудованием для маркировки на всех участках производства. В его состав входит компонент авторизации Kvantron.Authorization, обесп</w:t>
      </w:r>
      <w:r>
        <w:t xml:space="preserve">ечивающий контроль доступа пользователей к различным частям комплекса. Настоящее Руководство пользователя по авторизации описывает порядок работы с компонентом авторизации, включая регистрацию, вход в систему, добавление новых пользователей и сброс пароля.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832"/>
      </w:pPr>
      <w:r/>
      <w:bookmarkStart w:id="3" w:name="_Toc3"/>
      <w:r>
        <w:t xml:space="preserve">2. Системные требования</w:t>
      </w:r>
      <w:bookmarkEnd w:id="3"/>
      <w:r/>
      <w:r/>
    </w:p>
    <w:p>
      <w:pPr>
        <w:pStyle w:val="839"/>
      </w:pPr>
      <w:r>
        <w:t xml:space="preserve">Перед началом работы необходимо убедиться, что в системе установлен Kvantron.Launcher и в лаунчере добавлен компонент Kvantron.Authorization.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832"/>
      </w:pPr>
      <w:r/>
      <w:bookmarkStart w:id="4" w:name="_Toc4"/>
      <w:r>
        <w:t xml:space="preserve">3. Первый запуск и регистрация</w:t>
      </w:r>
      <w:bookmarkEnd w:id="4"/>
      <w:r/>
      <w:r/>
    </w:p>
    <w:p>
      <w:pPr>
        <w:pStyle w:val="839"/>
      </w:pPr>
      <w:r>
        <w:t xml:space="preserve">Для работы авторизации сервис необходимо предварительно запустить в лаунчере (см. Рисунок 1 Цифра 1).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246524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240000" cy="246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5.12pt;height:194.11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</w:t>
      </w:r>
      <w:r>
        <w:t xml:space="preserve">Окно Kvantron.Launcher</w:t>
      </w:r>
      <w:r/>
    </w:p>
    <w:p>
      <w:pPr>
        <w:pStyle w:val="839"/>
      </w:pPr>
      <w:r>
        <w:t xml:space="preserve">Запустите сервис авторизации из комплекса «Kvantron Smart». При первом запуске будет открыто окно регистрации </w:t>
      </w:r>
      <w:r>
        <w:t xml:space="preserve">первой</w:t>
      </w:r>
      <w:r>
        <w:t xml:space="preserve"> учетной записи (см. Рисунок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3020075"/>
                <wp:effectExtent l="0" t="0" r="0" b="8890"/>
                <wp:docPr id="2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240000" cy="302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55.12pt;height:237.8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Окно регистрации</w:t>
      </w:r>
      <w:r/>
    </w:p>
    <w:p>
      <w:pPr>
        <w:pStyle w:val="839"/>
      </w:pPr>
      <w:r>
        <w:t xml:space="preserve">На экране будут отображены поля для ввода логина (см. Рисунок 3 Цифра 1), ввода пароля (см. Рисунок 3 Цифра 2) и подтверждения пароля (см. </w:t>
      </w:r>
      <w:r>
        <w:t xml:space="preserve">Рисунок 3 Цифра 3). Заполните все требуемые поля, затем нажмите кнопку «Регистрация» (см. Рисунок 3 Цифра 4).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3020075"/>
                <wp:effectExtent l="0" t="0" r="0" b="8890"/>
                <wp:docPr id="3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240000" cy="302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55.12pt;height:237.8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</w:t>
      </w:r>
      <w:r>
        <w:t xml:space="preserve">– Поля ввода данных регистрации</w:t>
      </w:r>
      <w:r/>
    </w:p>
    <w:p>
      <w:pPr>
        <w:pStyle w:val="839"/>
      </w:pPr>
      <w:r>
        <w:t xml:space="preserve">Если введенные пароль и подтверждение пароля не совпадают, система выведет сообщение об ошибке (см. Рисунок 4).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24795" cy="981212"/>
                <wp:effectExtent l="0" t="0" r="9525" b="9525"/>
                <wp:docPr id="4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3724795" cy="981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93.29pt;height:77.26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– Сообщение об ошибке при несовпадении паролей</w:t>
      </w:r>
      <w:r/>
    </w:p>
    <w:p>
      <w:pPr>
        <w:pStyle w:val="839"/>
      </w:pPr>
      <w:r>
        <w:t xml:space="preserve">Для проверки введенных данных в полях пароля</w:t>
      </w:r>
      <w:r>
        <w:t xml:space="preserve"> и подтверждения пароля, нажмите кнопку просмотра (см. Рисунок 5 Цифра 1). Введенные символы станут видимыми. После проверки, при необходимости, снова нажмите кнопку просмотра для скрытия пароля и затем нажмите кнопку «Регистрация» (см. Рисунок 5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3020075"/>
                <wp:effectExtent l="0" t="0" r="0" b="8890"/>
                <wp:docPr id="5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240000" cy="302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55.12pt;height:237.8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– Кнопка просмотра пароля</w:t>
      </w:r>
      <w:r/>
    </w:p>
    <w:p>
      <w:pPr>
        <w:pStyle w:val="839"/>
      </w:pPr>
      <w:r>
        <w:t xml:space="preserve">После успешной регистрации откроется окно авторизации (см. Рисунок 6).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2055867"/>
                <wp:effectExtent l="0" t="0" r="0" b="1905"/>
                <wp:docPr id="6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240000" cy="2055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55.12pt;height:161.88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</w:t>
      </w:r>
      <w:r>
        <w:t xml:space="preserve">– Окно авторизации</w:t>
      </w:r>
      <w:r>
        <w:br w:type="page" w:clear="all"/>
      </w:r>
      <w:r/>
    </w:p>
    <w:p>
      <w:pPr>
        <w:pStyle w:val="832"/>
      </w:pPr>
      <w:r/>
      <w:bookmarkStart w:id="5" w:name="_Toc5"/>
      <w:r>
        <w:t xml:space="preserve">4. Вход в систему</w:t>
      </w:r>
      <w:bookmarkEnd w:id="5"/>
      <w:r/>
      <w:r/>
    </w:p>
    <w:p>
      <w:pPr>
        <w:pStyle w:val="839"/>
      </w:pPr>
      <w:r>
        <w:t xml:space="preserve">Для входа в систему введите пароль (см. Рисунок 7 Цифра </w:t>
      </w:r>
      <w:r>
        <w:t xml:space="preserve">1</w:t>
      </w:r>
      <w:r>
        <w:t xml:space="preserve">) от необходимой учетной записи. После ввода данных нажмите кнопку «Войти» (см. Рисунок 7 Цифра </w:t>
      </w:r>
      <w:r>
        <w:t xml:space="preserve">2</w:t>
      </w:r>
      <w:r>
        <w:t xml:space="preserve">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2055868"/>
                <wp:effectExtent l="0" t="0" r="0" b="1905"/>
                <wp:docPr id="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240000" cy="20558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55.12pt;height:161.88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</w:t>
      </w:r>
      <w:r>
        <w:fldChar w:fldCharType="end"/>
      </w:r>
      <w:r>
        <w:t xml:space="preserve"> </w:t>
      </w:r>
      <w:r>
        <w:t xml:space="preserve">– Поля ввода данных авторизации</w:t>
      </w:r>
      <w:r/>
    </w:p>
    <w:p>
      <w:pPr>
        <w:pStyle w:val="839"/>
      </w:pPr>
      <w:r>
        <w:t xml:space="preserve">Для проверки введенного пароля нажмите кнопку просмотра (см. Рисунок 8 Цифра 1). Введенные символы станут видимыми. После проверки, при необходимости, снова нажмите кнопку просмотра для скрытия пароля и затем нажмите кнопку «Войти» (см. Рисунок 8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0000" cy="2055867"/>
                <wp:effectExtent l="0" t="0" r="0" b="1905"/>
                <wp:docPr id="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240000" cy="2055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55.12pt;height:161.88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– Кнопка просмотра пароля при авторизации</w:t>
      </w:r>
      <w:r/>
    </w:p>
    <w:p>
      <w:pPr>
        <w:pStyle w:val="839"/>
      </w:pPr>
      <w:r>
        <w:t xml:space="preserve">После успешного входа откроется главная страница приложения из комплекса Kvantron Smart. Убедитесь, что вошли в нужную учетную запись, проверив отображаемое имя пользователя (см. Рисунок 9 Цифра 1).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03652"/>
                <wp:effectExtent l="0" t="0" r="8255" b="0"/>
                <wp:docPr id="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040000" cy="2803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96.85pt;height:220.76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9</w:t>
      </w:r>
      <w:r>
        <w:fldChar w:fldCharType="end"/>
      </w:r>
      <w:r>
        <w:t xml:space="preserve"> – Главная страница приложения после входа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832"/>
      </w:pPr>
      <w:r/>
      <w:bookmarkStart w:id="6" w:name="_Toc6"/>
      <w:r>
        <w:t xml:space="preserve">5. Выход из системы</w:t>
      </w:r>
      <w:bookmarkEnd w:id="6"/>
      <w:r/>
      <w:r/>
    </w:p>
    <w:p>
      <w:pPr>
        <w:pStyle w:val="839"/>
      </w:pPr>
      <w:r>
        <w:t xml:space="preserve">Если необходимо выйти из учетной записи, нажмите на кнопку выхода (см. Рисунок 10 Цифра 1).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03652"/>
                <wp:effectExtent l="0" t="0" r="8255" b="0"/>
                <wp:docPr id="1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040000" cy="2803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96.85pt;height:220.76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 – Кнопка выхода из системы</w:t>
      </w:r>
      <w:r/>
    </w:p>
    <w:p>
      <w:pPr>
        <w:pStyle w:val="839"/>
      </w:pPr>
      <w:r>
        <w:t xml:space="preserve">На экране появится окно подтверждения выхода из системы. Для отмены выхода нажмите кнопку «Отмена» (см. Рисунок 11 Цифра 1), для подтверждения выхода</w:t>
      </w:r>
      <w:r>
        <w:t xml:space="preserve"> –</w:t>
      </w:r>
      <w:r>
        <w:t xml:space="preserve"> кнопку «Да» (см. Рисунок 11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03652"/>
                <wp:effectExtent l="0" t="0" r="8255" b="0"/>
                <wp:docPr id="1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040000" cy="2803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96.85pt;height:220.76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 – Окно подтверждения выхода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832"/>
      </w:pPr>
      <w:r/>
      <w:bookmarkStart w:id="7" w:name="_Toc7"/>
      <w:r>
        <w:t xml:space="preserve">6. Добавление новых пользователей</w:t>
      </w:r>
      <w:bookmarkEnd w:id="7"/>
      <w:r/>
      <w:r/>
    </w:p>
    <w:p>
      <w:pPr>
        <w:pStyle w:val="839"/>
      </w:pPr>
      <w:r>
        <w:t xml:space="preserve">Для добавления новых пользователей необходимо перейти в приложение Smart Server. В меню выберите пункт «Администрирование» (см. Рисунок 12 Цифра 1), затем подпункт «Пользователи» (см. Рисунок 12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2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 – Меню администрирования пользователей</w:t>
      </w:r>
      <w:r/>
    </w:p>
    <w:p>
      <w:pPr>
        <w:pStyle w:val="839"/>
      </w:pPr>
      <w:r>
        <w:t xml:space="preserve">На открывшейся странице будет отображена таблица со всеми текущими пользователями системы (см. Рисунок 13 Цифра 1). Для добавления нового пользователя нажмите кнопку добавления (см. Рисунок 13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3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 – Таблица пользователей</w:t>
      </w:r>
      <w:r/>
    </w:p>
    <w:p>
      <w:pPr>
        <w:pStyle w:val="839"/>
      </w:pPr>
      <w:r>
        <w:t xml:space="preserve">Откроется форма добавления нового пользователя. Заполните поля: имя пользователя (см. Рисунок 14 Цифра 1), пароль (см. Рисунок 14 Цифра 2). Выберите роль нового пользователя (см. Рисунок 14 Цифра 3).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4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 – Форма добавления пользователя</w:t>
      </w:r>
      <w:r/>
    </w:p>
    <w:p>
      <w:pPr>
        <w:pStyle w:val="839"/>
      </w:pPr>
      <w:r>
        <w:t xml:space="preserve">Для выбора роли нажмите на соответствующее поле, откроется выпадающий список с доступными ролями (см. Рисунок 15).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5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 – Выбор роли пользователя</w:t>
      </w:r>
      <w:r/>
    </w:p>
    <w:p>
      <w:pPr>
        <w:pStyle w:val="839"/>
      </w:pPr>
      <w:r>
        <w:t xml:space="preserve">Права доступа пользователей в различных компонентах комплекса Kvantron Smart в зависимости от роли приведены в Таблицах 1-4.</w:t>
      </w:r>
      <w:r/>
    </w:p>
    <w:p>
      <w:pPr>
        <w:jc w:val="right"/>
        <w:keepNext/>
        <w:spacing w:before="120"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Таблица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begin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– Права доступа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Smart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Catalog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tbl>
      <w:tblPr>
        <w:tblStyle w:val="846"/>
        <w:tblW w:w="0" w:type="auto"/>
        <w:tblLook w:val="04A0" w:firstRow="1" w:lastRow="0" w:firstColumn="1" w:lastColumn="0" w:noHBand="0" w:noVBand="1"/>
      </w:tblPr>
      <w:tblGrid>
        <w:gridCol w:w="1766"/>
        <w:gridCol w:w="2226"/>
        <w:gridCol w:w="1635"/>
        <w:gridCol w:w="1728"/>
        <w:gridCol w:w="1990"/>
      </w:tblGrid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Оператор печати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Модератор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Пользователь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Документы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Линии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Шаблоны печати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Продукция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Настройки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766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Загрузка кодов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3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2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keepNext/>
        <w:spacing w:before="240"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Таблица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begin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– Права доступа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Smart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Client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tbl>
      <w:tblPr>
        <w:tblStyle w:val="846"/>
        <w:tblW w:w="0" w:type="auto"/>
        <w:tblLook w:val="04A0" w:firstRow="1" w:lastRow="0" w:firstColumn="1" w:lastColumn="0" w:noHBand="0" w:noVBand="1"/>
      </w:tblPr>
      <w:tblGrid>
        <w:gridCol w:w="1972"/>
        <w:gridCol w:w="1939"/>
        <w:gridCol w:w="1781"/>
        <w:gridCol w:w="1803"/>
        <w:gridCol w:w="1850"/>
      </w:tblGrid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Оператор печати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Модератор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Пользователь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Инициализация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Маркировка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Основные настройки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Настройки оборудования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Сервисное (Задания)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1869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Сервисное (Режим отладки)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6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keepNext/>
        <w:spacing w:before="240"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Таблица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begin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– Права доступа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Smart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Server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tbl>
      <w:tblPr>
        <w:tblStyle w:val="846"/>
        <w:tblW w:w="0" w:type="auto"/>
        <w:tblLook w:val="04A0" w:firstRow="1" w:lastRow="0" w:firstColumn="1" w:lastColumn="0" w:noHBand="0" w:noVBand="1"/>
      </w:tblPr>
      <w:tblGrid>
        <w:gridCol w:w="2472"/>
        <w:gridCol w:w="1939"/>
        <w:gridCol w:w="1529"/>
        <w:gridCol w:w="1611"/>
        <w:gridCol w:w="1794"/>
      </w:tblGrid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Оператор печати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Модератор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Пользователь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Статистика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Дашборд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Печать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Отчет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Администрирование (Журнал)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Администрирование (Пользователи)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Администрирование (Настройки)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Сервисы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right"/>
        <w:keepNext/>
        <w:spacing w:before="240"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Таблица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begin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instrText xml:space="preserve"> SEQ Таблица \* ARABIC </w:instrTex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– Права доступа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 w:eastAsia="ru-RU"/>
          <w14:ligatures w14:val="none"/>
        </w:rPr>
        <w:t xml:space="preserve">CRPT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tbl>
      <w:tblPr>
        <w:tblStyle w:val="846"/>
        <w:tblW w:w="0" w:type="auto"/>
        <w:tblLook w:val="04A0" w:firstRow="1" w:lastRow="0" w:firstColumn="1" w:lastColumn="0" w:noHBand="0" w:noVBand="1"/>
      </w:tblPr>
      <w:tblGrid>
        <w:gridCol w:w="2472"/>
        <w:gridCol w:w="1939"/>
        <w:gridCol w:w="1529"/>
        <w:gridCol w:w="1611"/>
        <w:gridCol w:w="1794"/>
      </w:tblGrid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Оператор печати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Модератор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Пользователь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Маркировка (Заказ КМ)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Маркировка (Отправить отчет)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Маркировка (Ввод в оборот)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Маркировка (Проверка статуса КМ)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Данные (Организации)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Данные (Лицензии)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Данные (Продукция)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Активные задания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Файлы кодов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2472" w:type="dxa"/>
            <w:vAlign w:val="center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Настройки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3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9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839"/>
        <w:spacing w:before="240"/>
      </w:pPr>
      <w:r>
        <w:t xml:space="preserve">После заполнения всех полей и выбора роли, нажмите кнопку «Добавить пользователя» (см. Рисунок 16 Цифра 1). Для отмены операции нажмите кнопку «Отмена» (см. Рисунок 16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6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 – Кнопки подтверждения или отмены добавления</w:t>
      </w:r>
      <w:r/>
    </w:p>
    <w:p>
      <w:pPr>
        <w:pStyle w:val="839"/>
      </w:pPr>
      <w:r>
        <w:t xml:space="preserve">Для проверки успешного добавления нового пользователя, выйдите из текущей учетной записи и выполните вход, используя логин и пароль нового пользователя (см. Рисунок 17 Цифра 1). Нажмите кнопку «Войти» (см. Рисунок 17 Цифра 2).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7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 – Авторизация нового пользователя</w:t>
      </w:r>
      <w:r/>
    </w:p>
    <w:p>
      <w:pPr>
        <w:pStyle w:val="839"/>
      </w:pPr>
      <w:r>
        <w:t xml:space="preserve">После входа убедитесь, что отображается информация о новом пользователе (см. Рисунок 18 Цифра 1).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0000" cy="2811194"/>
                <wp:effectExtent l="0" t="0" r="8255" b="8255"/>
                <wp:docPr id="18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040000" cy="28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396.85pt;height:221.35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 – Проверка пользователя в системе</w:t>
      </w:r>
      <w:r/>
    </w:p>
    <w:p>
      <w:pPr>
        <w:rPr>
          <w:rFonts w:ascii="Times New Roman" w:hAnsi="Times New Roman" w:eastAsia="Georgia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eastAsia="Georgia" w:cs="Times New Roman"/>
          <w:sz w:val="28"/>
          <w:szCs w:val="28"/>
        </w:rPr>
      </w:r>
      <w:r>
        <w:rPr>
          <w:rFonts w:ascii="Times New Roman" w:hAnsi="Times New Roman" w:eastAsia="Georgia" w:cs="Times New Roman"/>
          <w:sz w:val="28"/>
          <w:szCs w:val="28"/>
        </w:rPr>
      </w:r>
    </w:p>
    <w:p>
      <w:pPr>
        <w:pStyle w:val="832"/>
      </w:pPr>
      <w:r/>
      <w:bookmarkStart w:id="8" w:name="_Toc8"/>
      <w:r>
        <w:t xml:space="preserve">7. Сброс пароля (переустановка Authorize)</w:t>
      </w:r>
      <w:bookmarkEnd w:id="8"/>
      <w:r/>
      <w:r/>
    </w:p>
    <w:p>
      <w:pPr>
        <w:pStyle w:val="839"/>
      </w:pPr>
      <w:r>
        <w:t xml:space="preserve">Для сброса паролей и переустановки модуля авторизации выполните следующие шаги:</w:t>
      </w:r>
      <w:r/>
    </w:p>
    <w:p>
      <w:pPr>
        <w:pStyle w:val="833"/>
      </w:pPr>
      <w:r/>
      <w:bookmarkStart w:id="9" w:name="_Toc9"/>
      <w:r>
        <w:t xml:space="preserve">7.1. Запуск лаунчера</w:t>
      </w:r>
      <w:bookmarkEnd w:id="9"/>
      <w:r/>
      <w:r/>
    </w:p>
    <w:p>
      <w:pPr>
        <w:pStyle w:val="839"/>
      </w:pPr>
      <w:r>
        <w:t xml:space="preserve">Запустите приложение Kvantron.Launcher. Основное окно программы представлено на Рисунке 19.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38198" cy="2359059"/>
                <wp:effectExtent l="0" t="0" r="5080" b="3175"/>
                <wp:docPr id="19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3164792" cy="237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247.10pt;height:185.75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841"/>
        <w:rPr>
          <w:i/>
          <w:iCs/>
        </w:rPr>
      </w:pPr>
      <w:r>
        <w:t xml:space="preserve">Рисунок </w:t>
      </w:r>
      <w:r>
        <w:rPr>
          <w:i/>
          <w:iCs/>
        </w:rPr>
        <w:fldChar w:fldCharType="begin"/>
      </w:r>
      <w:r>
        <w:instrText xml:space="preserve"> SEQ Рисунок \* ARABIC </w:instrText>
      </w:r>
      <w:r>
        <w:rPr>
          <w:i/>
          <w:iCs/>
        </w:rPr>
        <w:fldChar w:fldCharType="separate"/>
      </w:r>
      <w:r>
        <w:t xml:space="preserve">19</w:t>
      </w:r>
      <w:r>
        <w:rPr>
          <w:i/>
          <w:iCs/>
        </w:rPr>
        <w:fldChar w:fldCharType="end"/>
      </w:r>
      <w:r>
        <w:t xml:space="preserve"> – </w:t>
      </w:r>
      <w:r>
        <w:t xml:space="preserve">Окно Kvantron.Launcher</w:t>
      </w:r>
      <w:r>
        <w:rPr>
          <w:i/>
          <w:iCs/>
        </w:rPr>
      </w:r>
      <w:r>
        <w:rPr>
          <w:i/>
          <w:iCs/>
        </w:rPr>
      </w:r>
    </w:p>
    <w:p>
      <w:pPr>
        <w:pStyle w:val="833"/>
      </w:pPr>
      <w:r/>
      <w:bookmarkStart w:id="10" w:name="_Toc10"/>
      <w:r>
        <w:t xml:space="preserve">7.2. Остановка сервиса авторизации</w:t>
      </w:r>
      <w:bookmarkEnd w:id="10"/>
      <w:r/>
      <w:r/>
    </w:p>
    <w:p>
      <w:pPr>
        <w:pStyle w:val="839"/>
      </w:pPr>
      <w:r>
        <w:t xml:space="preserve">В окне лаунчера найдите компонент «Авторизация» (сервис Kvantron.Authorization)</w:t>
      </w:r>
      <w:r>
        <w:t xml:space="preserve"> </w:t>
      </w:r>
      <w:r>
        <w:t xml:space="preserve">(см. Рисунок 20 Цифра </w:t>
      </w:r>
      <w:r>
        <w:t xml:space="preserve">1</w:t>
      </w:r>
      <w:r>
        <w:t xml:space="preserve">)</w:t>
      </w:r>
      <w:r>
        <w:t xml:space="preserve">. Для остановки сервиса нажмите кнопку «Стоп» (см. Рисунок 20 Цифра 2). Убедитесь, что статус сервиса изменился на «Остановлен» (см. Рисунок 21).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62712" cy="2444836"/>
                <wp:effectExtent l="0" t="0" r="0" b="0"/>
                <wp:docPr id="20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275804" cy="2454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56.91pt;height:192.51pt;mso-wrap-distance-left:0.00pt;mso-wrap-distance-top:0.00pt;mso-wrap-distance-right:0.00pt;mso-wrap-distance-bottom:0.00pt;" stroked="f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841"/>
      </w:pPr>
      <w:r>
        <w:t xml:space="preserve">Рисунок </w:t>
      </w:r>
      <w:r>
        <w:rPr>
          <w:i/>
          <w:iCs/>
        </w:rPr>
        <w:fldChar w:fldCharType="begin"/>
      </w:r>
      <w:r>
        <w:instrText xml:space="preserve"> SEQ Рисунок \* ARABIC </w:instrText>
      </w:r>
      <w:r>
        <w:rPr>
          <w:i/>
          <w:iCs/>
        </w:rPr>
        <w:fldChar w:fldCharType="separate"/>
      </w:r>
      <w:r>
        <w:t xml:space="preserve">20</w:t>
      </w:r>
      <w:r>
        <w:rPr>
          <w:i/>
          <w:iCs/>
        </w:rPr>
        <w:fldChar w:fldCharType="end"/>
      </w:r>
      <w:r>
        <w:t xml:space="preserve"> – </w:t>
      </w:r>
      <w:r>
        <w:t xml:space="preserve">Компонент сервиса авторизации с кнопкой управления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50215" cy="2692185"/>
                <wp:effectExtent l="0" t="0" r="7620" b="0"/>
                <wp:docPr id="2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664271" cy="2702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87.42pt;height:211.98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841"/>
        <w:rPr>
          <w:i/>
          <w:iCs/>
        </w:rPr>
      </w:pPr>
      <w:r>
        <w:t xml:space="preserve">Рисунок </w:t>
      </w:r>
      <w:r>
        <w:rPr>
          <w:i/>
          <w:iCs/>
        </w:rPr>
        <w:fldChar w:fldCharType="begin"/>
      </w:r>
      <w:r>
        <w:instrText xml:space="preserve"> SEQ Рисунок \* ARABIC </w:instrText>
      </w:r>
      <w:r>
        <w:rPr>
          <w:i/>
          <w:iCs/>
        </w:rPr>
        <w:fldChar w:fldCharType="separate"/>
      </w:r>
      <w:r>
        <w:t xml:space="preserve">21</w:t>
      </w:r>
      <w:r>
        <w:rPr>
          <w:i/>
          <w:iCs/>
        </w:rPr>
        <w:fldChar w:fldCharType="end"/>
      </w:r>
      <w:r>
        <w:t xml:space="preserve"> – </w:t>
      </w:r>
      <w:r>
        <w:t xml:space="preserve">Сервис авторизации в состоянии «Остановлен»</w:t>
      </w:r>
      <w:r>
        <w:rPr>
          <w:i/>
          <w:iCs/>
        </w:rPr>
      </w:r>
      <w:r>
        <w:rPr>
          <w:i/>
          <w:iCs/>
        </w:rPr>
      </w:r>
    </w:p>
    <w:p>
      <w:pPr>
        <w:pStyle w:val="833"/>
      </w:pPr>
      <w:r/>
      <w:bookmarkStart w:id="11" w:name="_Toc11"/>
      <w:r>
        <w:t xml:space="preserve">7.3. Удаление файлов базы данных</w:t>
      </w:r>
      <w:bookmarkEnd w:id="11"/>
      <w:r/>
      <w:r/>
    </w:p>
    <w:p>
      <w:pPr>
        <w:pStyle w:val="839"/>
      </w:pPr>
      <w:r>
        <w:t xml:space="preserve">Перейдите в директорию, где расположен исполняемый файл сервиса авторизации (...\Kvantron.Authorization.exe). В этой директории найдите следующие три файла, составляющие базу данных (см. Рисунок 22 Цифра 1):</w:t>
      </w:r>
      <w:r/>
    </w:p>
    <w:p>
      <w:pPr>
        <w:pStyle w:val="839"/>
        <w:numPr>
          <w:ilvl w:val="0"/>
          <w:numId w:val="2"/>
        </w:numPr>
        <w:ind w:left="1134" w:hanging="425"/>
        <w:rPr>
          <w:lang w:val="en-US"/>
        </w:rPr>
      </w:pPr>
      <w:r>
        <w:rPr>
          <w:lang w:val="en-US"/>
        </w:rPr>
        <w:t xml:space="preserve">DB.db</w:t>
      </w:r>
      <w:r>
        <w:rPr>
          <w:lang w:val="en-US"/>
        </w:rPr>
      </w:r>
      <w:r>
        <w:rPr>
          <w:lang w:val="en-US"/>
        </w:rPr>
      </w:r>
    </w:p>
    <w:p>
      <w:pPr>
        <w:pStyle w:val="839"/>
        <w:numPr>
          <w:ilvl w:val="0"/>
          <w:numId w:val="2"/>
        </w:numPr>
        <w:ind w:left="1134" w:hanging="425"/>
        <w:rPr>
          <w:lang w:val="en-US"/>
        </w:rPr>
      </w:pPr>
      <w:r>
        <w:rPr>
          <w:lang w:val="en-US"/>
        </w:rPr>
        <w:t xml:space="preserve">DB.db-shm</w:t>
      </w:r>
      <w:r>
        <w:rPr>
          <w:lang w:val="en-US"/>
        </w:rPr>
      </w:r>
      <w:r>
        <w:rPr>
          <w:lang w:val="en-US"/>
        </w:rPr>
      </w:r>
    </w:p>
    <w:p>
      <w:pPr>
        <w:pStyle w:val="839"/>
        <w:numPr>
          <w:ilvl w:val="0"/>
          <w:numId w:val="2"/>
        </w:numPr>
        <w:ind w:left="1134" w:hanging="425"/>
        <w:rPr>
          <w:lang w:val="en-US"/>
        </w:rPr>
      </w:pPr>
      <w:r>
        <w:rPr>
          <w:lang w:val="en-US"/>
        </w:rPr>
        <w:t xml:space="preserve">DB.db-wal</w:t>
      </w:r>
      <w:r>
        <w:rPr>
          <w:lang w:val="en-US"/>
        </w:rPr>
      </w:r>
      <w:r>
        <w:rPr>
          <w:lang w:val="en-US"/>
        </w:rPr>
      </w:r>
    </w:p>
    <w:p>
      <w:pPr>
        <w:pStyle w:val="839"/>
      </w:pPr>
      <w:r>
        <w:t xml:space="preserve">Выделите все три файла. Удалите их одним из следующих способов:</w:t>
      </w:r>
      <w:r/>
    </w:p>
    <w:p>
      <w:pPr>
        <w:pStyle w:val="839"/>
      </w:pPr>
      <w:r/>
      <w:r/>
    </w:p>
    <w:p>
      <w:pPr>
        <w:pStyle w:val="839"/>
        <w:numPr>
          <w:ilvl w:val="0"/>
          <w:numId w:val="3"/>
        </w:numPr>
        <w:ind w:left="1134" w:hanging="425"/>
      </w:pPr>
      <w:r>
        <w:t xml:space="preserve">Нажмите правую кнопку мыши на выделенной области и в контекстном меню (см. Рисунок 23 Цифра 1) выберите пункт «Удалить» (см. Рисунок 23 Цифра 2).</w:t>
      </w:r>
      <w:r/>
    </w:p>
    <w:p>
      <w:pPr>
        <w:pStyle w:val="839"/>
        <w:numPr>
          <w:ilvl w:val="0"/>
          <w:numId w:val="3"/>
        </w:numPr>
        <w:ind w:left="1134" w:hanging="425"/>
      </w:pPr>
      <w:r>
        <w:t xml:space="preserve">Нажмите клавишу Delete на клавиатуре.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1841" cy="2680098"/>
                <wp:effectExtent l="0" t="0" r="0" b="6350"/>
                <wp:docPr id="2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819321" cy="26898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378.10pt;height:211.03pt;mso-wrap-distance-left:0.00pt;mso-wrap-distance-top:0.00pt;mso-wrap-distance-right:0.00pt;mso-wrap-distance-bottom:0.00pt;" stroked="f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pStyle w:val="841"/>
        <w:rPr>
          <w:i/>
          <w:iCs/>
        </w:rPr>
      </w:pPr>
      <w:r>
        <w:t xml:space="preserve">Рисунок </w:t>
      </w:r>
      <w:r>
        <w:rPr>
          <w:i/>
          <w:iCs/>
        </w:rPr>
        <w:fldChar w:fldCharType="begin"/>
      </w:r>
      <w:r>
        <w:instrText xml:space="preserve"> SEQ Рисунок \* ARABIC </w:instrText>
      </w:r>
      <w:r>
        <w:rPr>
          <w:i/>
          <w:iCs/>
        </w:rPr>
        <w:fldChar w:fldCharType="separate"/>
      </w:r>
      <w:r>
        <w:t xml:space="preserve">22</w:t>
      </w:r>
      <w:r>
        <w:rPr>
          <w:i/>
          <w:iCs/>
        </w:rPr>
        <w:fldChar w:fldCharType="end"/>
      </w:r>
      <w:r>
        <w:t xml:space="preserve"> – </w:t>
      </w:r>
      <w:r>
        <w:t xml:space="preserve">Файлы базы данных в директории размещения</w:t>
      </w:r>
      <w:r>
        <w:rPr>
          <w:i/>
          <w:iCs/>
        </w:rPr>
      </w:r>
      <w:r>
        <w:rPr>
          <w:i/>
          <w:iCs/>
        </w:rPr>
      </w:r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67284" cy="2604411"/>
                <wp:effectExtent l="0" t="0" r="0" b="5715"/>
                <wp:docPr id="2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4379030" cy="2611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343.88pt;height:205.07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pStyle w:val="841"/>
        <w:rPr>
          <w:i/>
          <w:iCs/>
        </w:rPr>
      </w:pPr>
      <w:r>
        <w:t xml:space="preserve">Рисунок </w:t>
      </w:r>
      <w:r>
        <w:rPr>
          <w:i/>
          <w:iCs/>
        </w:rPr>
        <w:fldChar w:fldCharType="begin"/>
      </w:r>
      <w:r>
        <w:instrText xml:space="preserve"> SEQ Рисунок \* ARABIC </w:instrText>
      </w:r>
      <w:r>
        <w:rPr>
          <w:i/>
          <w:iCs/>
        </w:rPr>
        <w:fldChar w:fldCharType="separate"/>
      </w:r>
      <w:r>
        <w:t xml:space="preserve">23</w:t>
      </w:r>
      <w:r>
        <w:rPr>
          <w:i/>
          <w:iCs/>
        </w:rPr>
        <w:fldChar w:fldCharType="end"/>
      </w:r>
      <w:r>
        <w:t xml:space="preserve"> – </w:t>
      </w:r>
      <w:r>
        <w:t xml:space="preserve">Контекстное меню для удаления файлов</w:t>
      </w:r>
      <w:r>
        <w:rPr>
          <w:i/>
          <w:iCs/>
        </w:rPr>
      </w:r>
      <w:r>
        <w:rPr>
          <w:i/>
          <w:iCs/>
        </w:rPr>
      </w:r>
    </w:p>
    <w:p>
      <w:pPr>
        <w:pStyle w:val="833"/>
      </w:pPr>
      <w:r/>
      <w:bookmarkStart w:id="12" w:name="_Toc12"/>
      <w:r>
        <w:t xml:space="preserve">7.4. Запуск сервиса авторизации</w:t>
      </w:r>
      <w:bookmarkEnd w:id="12"/>
      <w:r/>
      <w:r/>
    </w:p>
    <w:p>
      <w:pPr>
        <w:pStyle w:val="839"/>
      </w:pPr>
      <w:r>
        <w:t xml:space="preserve">Вернитесь в окно лаунчера и запустите сервис авторизации, нажав кнопку «Пуск» (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1475" cy="323850"/>
                <wp:effectExtent l="0" t="0" r="9525" b="0"/>
                <wp:docPr id="24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3714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29.25pt;height:25.50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  <w:r>
        <w:t xml:space="preserve">). Статус сервиса должен измениться на «Запущен».</w:t>
      </w:r>
      <w:r/>
    </w:p>
    <w:p>
      <w:pPr>
        <w:pStyle w:val="833"/>
      </w:pPr>
      <w:r/>
      <w:bookmarkStart w:id="13" w:name="_Toc13"/>
      <w:r>
        <w:t xml:space="preserve">7.5. Проверка результата</w:t>
      </w:r>
      <w:bookmarkEnd w:id="13"/>
      <w:r/>
      <w:r/>
    </w:p>
    <w:p>
      <w:pPr>
        <w:pStyle w:val="839"/>
      </w:pPr>
      <w:r/>
      <w:r/>
    </w:p>
    <w:p>
      <w:pPr>
        <w:pStyle w:val="839"/>
      </w:pPr>
      <w:r>
        <w:t xml:space="preserve">Для проверки успешности сброса откройте в браузере любой из сервисов системы. В случае успешного выполнения процедуры в браузере должно отобразиться окно первоначальной регистрации пользователя (см. Рисунок 24).</w:t>
      </w:r>
      <w:r/>
    </w:p>
    <w:p>
      <w:pPr>
        <w:pStyle w:val="84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13185" cy="2688609"/>
                <wp:effectExtent l="0" t="0" r="0" b="0"/>
                <wp:docPr id="2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435358" cy="2699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26.24pt;height:211.70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841"/>
        <w:rPr>
          <w:i/>
          <w:iCs/>
        </w:rPr>
      </w:pPr>
      <w:r>
        <w:t xml:space="preserve">Рисунок </w:t>
      </w:r>
      <w:r>
        <w:rPr>
          <w:i/>
          <w:iCs/>
        </w:rPr>
        <w:fldChar w:fldCharType="begin"/>
      </w:r>
      <w:r>
        <w:instrText xml:space="preserve"> SEQ Рисунок \* ARABIC </w:instrText>
      </w:r>
      <w:r>
        <w:rPr>
          <w:i/>
          <w:iCs/>
        </w:rPr>
        <w:fldChar w:fldCharType="separate"/>
      </w:r>
      <w:r>
        <w:t xml:space="preserve">24</w:t>
      </w:r>
      <w:r>
        <w:rPr>
          <w:i/>
          <w:iCs/>
        </w:rPr>
        <w:fldChar w:fldCharType="end"/>
      </w:r>
      <w:r>
        <w:t xml:space="preserve"> – </w:t>
      </w:r>
      <w:r>
        <w:t xml:space="preserve">Окно начальной регистрации пользователя</w:t>
      </w:r>
      <w:r>
        <w:rPr>
          <w:i/>
          <w:iCs/>
        </w:rPr>
      </w:r>
      <w:r>
        <w:rPr>
          <w:i/>
          <w:iCs/>
        </w:rPr>
      </w:r>
    </w:p>
    <w:p>
      <w:pPr>
        <w:pStyle w:val="839"/>
      </w:pPr>
      <w:r>
        <w:t xml:space="preserve">Появление окна регистрации (</w:t>
      </w:r>
      <w:r>
        <w:t xml:space="preserve">см. </w:t>
      </w:r>
      <w:r>
        <w:t xml:space="preserve">Рисунок 24) подтверждает успешное завершение процедуры сброса паролей, удаления учетных записей пользователей и повторной инициализации модуля Authorize.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Georgia">
    <w:panose1 w:val="02040502050405020303"/>
  </w:font>
  <w:font w:name="Liberation Serif">
    <w:panose1 w:val="020206030504050203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1">
    <w:name w:val="Heading 1 Char"/>
    <w:basedOn w:val="834"/>
    <w:link w:val="83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2 Char"/>
    <w:basedOn w:val="834"/>
    <w:link w:val="833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basedOn w:val="834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basedOn w:val="834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basedOn w:val="834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basedOn w:val="834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basedOn w:val="834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1"/>
    <w:next w:val="831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basedOn w:val="834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1"/>
    <w:next w:val="831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basedOn w:val="834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1"/>
    <w:next w:val="831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4"/>
    <w:link w:val="678"/>
    <w:uiPriority w:val="10"/>
    <w:rPr>
      <w:sz w:val="48"/>
      <w:szCs w:val="48"/>
    </w:rPr>
  </w:style>
  <w:style w:type="paragraph" w:styleId="680">
    <w:name w:val="Subtitle"/>
    <w:basedOn w:val="831"/>
    <w:next w:val="831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4"/>
    <w:link w:val="680"/>
    <w:uiPriority w:val="11"/>
    <w:rPr>
      <w:sz w:val="24"/>
      <w:szCs w:val="24"/>
    </w:rPr>
  </w:style>
  <w:style w:type="paragraph" w:styleId="682">
    <w:name w:val="Quote"/>
    <w:basedOn w:val="831"/>
    <w:next w:val="831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1"/>
    <w:next w:val="831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4"/>
    <w:link w:val="686"/>
    <w:uiPriority w:val="99"/>
  </w:style>
  <w:style w:type="paragraph" w:styleId="688">
    <w:name w:val="Footer"/>
    <w:basedOn w:val="831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4"/>
    <w:link w:val="688"/>
    <w:uiPriority w:val="99"/>
  </w:style>
  <w:style w:type="paragraph" w:styleId="690">
    <w:name w:val="Caption"/>
    <w:basedOn w:val="831"/>
    <w:next w:val="831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834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91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95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6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8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2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5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9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7">
    <w:name w:val="footnote text"/>
    <w:basedOn w:val="831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4"/>
    <w:uiPriority w:val="99"/>
    <w:unhideWhenUsed/>
    <w:rPr>
      <w:vertAlign w:val="superscript"/>
    </w:rPr>
  </w:style>
  <w:style w:type="paragraph" w:styleId="820">
    <w:name w:val="endnote text"/>
    <w:basedOn w:val="831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4"/>
    <w:uiPriority w:val="99"/>
    <w:semiHidden/>
    <w:unhideWhenUsed/>
    <w:rPr>
      <w:vertAlign w:val="superscript"/>
    </w:rPr>
  </w:style>
  <w:style w:type="paragraph" w:styleId="823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paragraph" w:styleId="832">
    <w:name w:val="Heading 1"/>
    <w:basedOn w:val="831"/>
    <w:link w:val="843"/>
    <w:uiPriority w:val="9"/>
    <w:qFormat/>
    <w:pPr>
      <w:ind w:firstLine="709"/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0"/>
      <w:szCs w:val="40"/>
      <w:lang w:eastAsia="ru-RU"/>
      <w14:ligatures w14:val="none"/>
    </w:rPr>
  </w:style>
  <w:style w:type="paragraph" w:styleId="833">
    <w:name w:val="Heading 2"/>
    <w:basedOn w:val="839"/>
    <w:next w:val="831"/>
    <w:link w:val="848"/>
    <w:uiPriority w:val="9"/>
    <w:unhideWhenUsed/>
    <w:qFormat/>
    <w:pPr>
      <w:outlineLvl w:val="1"/>
    </w:pPr>
    <w:rPr>
      <w:b/>
      <w:bCs/>
    </w:rPr>
  </w:style>
  <w:style w:type="character" w:styleId="834" w:default="1">
    <w:name w:val="Default Paragraph Font"/>
    <w:uiPriority w:val="1"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 w:customStyle="1">
    <w:name w:val="Для Лаб"/>
    <w:basedOn w:val="831"/>
    <w:link w:val="838"/>
    <w:pPr>
      <w:ind w:firstLine="709"/>
      <w:jc w:val="both"/>
      <w:spacing w:after="0" w:line="360" w:lineRule="auto"/>
    </w:pPr>
    <w:rPr>
      <w:rFonts w:ascii="Liberation Serif" w:hAnsi="Liberation Serif" w:cs="Times New Roman"/>
      <w:bCs/>
      <w:color w:val="000000"/>
      <w:sz w:val="28"/>
      <w:szCs w:val="28"/>
    </w:rPr>
  </w:style>
  <w:style w:type="character" w:styleId="838" w:customStyle="1">
    <w:name w:val="Для Лаб Знак"/>
    <w:basedOn w:val="834"/>
    <w:link w:val="837"/>
    <w:rPr>
      <w:rFonts w:ascii="Liberation Serif" w:hAnsi="Liberation Serif" w:cs="Times New Roman"/>
      <w:bCs/>
      <w:color w:val="000000"/>
      <w:sz w:val="28"/>
      <w:szCs w:val="28"/>
    </w:rPr>
  </w:style>
  <w:style w:type="paragraph" w:styleId="839" w:customStyle="1">
    <w:name w:val="Основной формат"/>
    <w:basedOn w:val="831"/>
    <w:link w:val="840"/>
    <w:qFormat/>
    <w:pPr>
      <w:ind w:firstLine="709"/>
      <w:jc w:val="both"/>
      <w:spacing w:after="0" w:line="360" w:lineRule="auto"/>
    </w:pPr>
    <w:rPr>
      <w:rFonts w:ascii="Times New Roman" w:hAnsi="Times New Roman" w:eastAsia="Georgia" w:cs="Times New Roman"/>
      <w:sz w:val="28"/>
      <w:szCs w:val="28"/>
    </w:rPr>
  </w:style>
  <w:style w:type="character" w:styleId="840" w:customStyle="1">
    <w:name w:val="Основной формат Знак"/>
    <w:basedOn w:val="834"/>
    <w:link w:val="839"/>
    <w:rPr>
      <w:rFonts w:ascii="Times New Roman" w:hAnsi="Times New Roman" w:eastAsia="Georgia" w:cs="Times New Roman"/>
      <w:sz w:val="28"/>
      <w:szCs w:val="28"/>
    </w:rPr>
  </w:style>
  <w:style w:type="paragraph" w:styleId="841" w:customStyle="1">
    <w:name w:val="Рисунок"/>
    <w:basedOn w:val="831"/>
    <w:link w:val="842"/>
    <w:qFormat/>
    <w:pPr>
      <w:jc w:val="center"/>
      <w:keepNext/>
    </w:pPr>
    <w:rPr>
      <w:rFonts w:ascii="Times New Roman" w:hAnsi="Times New Roman" w:eastAsia="Georgia" w:cs="Times New Roman"/>
      <w:sz w:val="28"/>
      <w:szCs w:val="28"/>
    </w:rPr>
  </w:style>
  <w:style w:type="character" w:styleId="842" w:customStyle="1">
    <w:name w:val="Рисунок Знак"/>
    <w:basedOn w:val="834"/>
    <w:link w:val="841"/>
    <w:rPr>
      <w:rFonts w:ascii="Times New Roman" w:hAnsi="Times New Roman" w:eastAsia="Georgia" w:cs="Times New Roman"/>
      <w:sz w:val="28"/>
      <w:szCs w:val="28"/>
    </w:rPr>
  </w:style>
  <w:style w:type="character" w:styleId="843" w:customStyle="1">
    <w:name w:val="Заголовок 1 Знак"/>
    <w:basedOn w:val="834"/>
    <w:link w:val="832"/>
    <w:uiPriority w:val="9"/>
    <w:rPr>
      <w:rFonts w:ascii="Times New Roman" w:hAnsi="Times New Roman" w:eastAsia="Times New Roman" w:cs="Times New Roman"/>
      <w:b/>
      <w:bCs/>
      <w:sz w:val="40"/>
      <w:szCs w:val="40"/>
      <w:lang w:eastAsia="ru-RU"/>
      <w14:ligatures w14:val="none"/>
    </w:rPr>
  </w:style>
  <w:style w:type="paragraph" w:styleId="844" w:customStyle="1">
    <w:name w:val="docdata"/>
    <w:basedOn w:val="83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paragraph" w:styleId="845">
    <w:name w:val="Normal (Web)"/>
    <w:basedOn w:val="83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  <w14:ligatures w14:val="none"/>
    </w:rPr>
  </w:style>
  <w:style w:type="table" w:styleId="846">
    <w:name w:val="Table Grid"/>
    <w:basedOn w:val="835"/>
    <w:uiPriority w:val="39"/>
    <w:pPr>
      <w:spacing w:after="0" w:line="240" w:lineRule="auto"/>
    </w:pPr>
    <w:rPr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7">
    <w:name w:val="List Paragraph"/>
    <w:basedOn w:val="831"/>
    <w:uiPriority w:val="34"/>
    <w:qFormat/>
    <w:pPr>
      <w:contextualSpacing/>
      <w:ind w:left="720"/>
    </w:pPr>
  </w:style>
  <w:style w:type="character" w:styleId="848" w:customStyle="1">
    <w:name w:val="Заголовок 2 Знак"/>
    <w:basedOn w:val="834"/>
    <w:link w:val="833"/>
    <w:uiPriority w:val="9"/>
    <w:rPr>
      <w:rFonts w:ascii="Times New Roman" w:hAnsi="Times New Roman" w:eastAsia="Georgia" w:cs="Times New Roman"/>
      <w:b/>
      <w:bCs/>
      <w:sz w:val="28"/>
      <w:szCs w:val="28"/>
    </w:rPr>
  </w:style>
  <w:style w:type="paragraph" w:styleId="849">
    <w:name w:val="TOC Heading"/>
    <w:basedOn w:val="832"/>
    <w:next w:val="831"/>
    <w:uiPriority w:val="39"/>
    <w:unhideWhenUsed/>
    <w:qFormat/>
    <w:pPr>
      <w:ind w:firstLine="0"/>
      <w:keepLines/>
      <w:keepNext/>
      <w:spacing w:before="240" w:beforeAutospacing="0" w:after="0" w:afterAutospacing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496" w:themeColor="accent1" w:themeShade="BF"/>
      <w:sz w:val="32"/>
      <w:szCs w:val="32"/>
    </w:rPr>
  </w:style>
  <w:style w:type="paragraph" w:styleId="850">
    <w:name w:val="toc 1"/>
    <w:basedOn w:val="831"/>
    <w:next w:val="831"/>
    <w:uiPriority w:val="39"/>
    <w:unhideWhenUsed/>
    <w:pPr>
      <w:spacing w:after="100"/>
    </w:pPr>
  </w:style>
  <w:style w:type="paragraph" w:styleId="851">
    <w:name w:val="toc 2"/>
    <w:basedOn w:val="831"/>
    <w:next w:val="831"/>
    <w:uiPriority w:val="39"/>
    <w:unhideWhenUsed/>
    <w:pPr>
      <w:ind w:left="220"/>
      <w:spacing w:after="100"/>
    </w:pPr>
  </w:style>
  <w:style w:type="character" w:styleId="852">
    <w:name w:val="Hyperlink"/>
    <w:basedOn w:val="834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85" w:default="1">
    <w:name w:val="Normal"/>
    <w:qFormat/>
  </w:style>
  <w:style w:type="character" w:styleId="1286" w:default="1">
    <w:name w:val="Default Paragraph Font"/>
    <w:uiPriority w:val="1"/>
    <w:semiHidden/>
    <w:unhideWhenUsed/>
  </w:style>
  <w:style w:type="numbering" w:styleId="1287" w:default="1">
    <w:name w:val="No List"/>
    <w:uiPriority w:val="99"/>
    <w:semiHidden/>
    <w:unhideWhenUsed/>
  </w:style>
  <w:style w:type="paragraph" w:styleId="1288">
    <w:name w:val="Heading 1"/>
    <w:basedOn w:val="1285"/>
    <w:next w:val="1285"/>
    <w:link w:val="128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289">
    <w:name w:val="Heading 1 Char"/>
    <w:basedOn w:val="1286"/>
    <w:link w:val="128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290">
    <w:name w:val="Heading 2"/>
    <w:basedOn w:val="1285"/>
    <w:next w:val="1285"/>
    <w:link w:val="129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291">
    <w:name w:val="Heading 2 Char"/>
    <w:basedOn w:val="1286"/>
    <w:link w:val="1290"/>
    <w:uiPriority w:val="9"/>
    <w:rPr>
      <w:rFonts w:ascii="Liberation Sans" w:hAnsi="Liberation Sans" w:eastAsia="Liberation Sans" w:cs="Liberation Sans"/>
      <w:sz w:val="34"/>
    </w:rPr>
  </w:style>
  <w:style w:type="paragraph" w:styleId="1292">
    <w:name w:val="Heading 3"/>
    <w:basedOn w:val="1285"/>
    <w:next w:val="1285"/>
    <w:link w:val="129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293">
    <w:name w:val="Heading 3 Char"/>
    <w:basedOn w:val="1286"/>
    <w:link w:val="129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294">
    <w:name w:val="Heading 4"/>
    <w:basedOn w:val="1285"/>
    <w:next w:val="1285"/>
    <w:link w:val="129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295">
    <w:name w:val="Heading 4 Char"/>
    <w:basedOn w:val="1286"/>
    <w:link w:val="129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296">
    <w:name w:val="Heading 5"/>
    <w:basedOn w:val="1285"/>
    <w:next w:val="1285"/>
    <w:link w:val="129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297">
    <w:name w:val="Heading 5 Char"/>
    <w:basedOn w:val="1286"/>
    <w:link w:val="12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298">
    <w:name w:val="Heading 6"/>
    <w:basedOn w:val="1285"/>
    <w:next w:val="1285"/>
    <w:link w:val="129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299">
    <w:name w:val="Heading 6 Char"/>
    <w:basedOn w:val="1286"/>
    <w:link w:val="129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300">
    <w:name w:val="Heading 7"/>
    <w:basedOn w:val="1285"/>
    <w:next w:val="1285"/>
    <w:link w:val="130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301">
    <w:name w:val="Heading 7 Char"/>
    <w:basedOn w:val="1286"/>
    <w:link w:val="130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302">
    <w:name w:val="Heading 8"/>
    <w:basedOn w:val="1285"/>
    <w:next w:val="1285"/>
    <w:link w:val="130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303">
    <w:name w:val="Heading 8 Char"/>
    <w:basedOn w:val="1286"/>
    <w:link w:val="13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304">
    <w:name w:val="Heading 9"/>
    <w:basedOn w:val="1285"/>
    <w:next w:val="1285"/>
    <w:link w:val="130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305">
    <w:name w:val="Heading 9 Char"/>
    <w:basedOn w:val="1286"/>
    <w:link w:val="13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306">
    <w:name w:val="List Paragraph"/>
    <w:basedOn w:val="1285"/>
    <w:uiPriority w:val="34"/>
    <w:qFormat/>
    <w:pPr>
      <w:contextualSpacing/>
      <w:ind w:left="720"/>
    </w:pPr>
  </w:style>
  <w:style w:type="table" w:styleId="13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308">
    <w:name w:val="No Spacing"/>
    <w:uiPriority w:val="1"/>
    <w:qFormat/>
    <w:pPr>
      <w:spacing w:before="0" w:after="0" w:line="240" w:lineRule="auto"/>
    </w:pPr>
  </w:style>
  <w:style w:type="paragraph" w:styleId="1309">
    <w:name w:val="Title"/>
    <w:basedOn w:val="1285"/>
    <w:next w:val="1285"/>
    <w:link w:val="13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310">
    <w:name w:val="Title Char"/>
    <w:basedOn w:val="1286"/>
    <w:link w:val="1309"/>
    <w:uiPriority w:val="10"/>
    <w:rPr>
      <w:sz w:val="48"/>
      <w:szCs w:val="48"/>
    </w:rPr>
  </w:style>
  <w:style w:type="paragraph" w:styleId="1311">
    <w:name w:val="Subtitle"/>
    <w:basedOn w:val="1285"/>
    <w:next w:val="1285"/>
    <w:link w:val="1312"/>
    <w:uiPriority w:val="11"/>
    <w:qFormat/>
    <w:pPr>
      <w:spacing w:before="200" w:after="200"/>
    </w:pPr>
    <w:rPr>
      <w:sz w:val="24"/>
      <w:szCs w:val="24"/>
    </w:rPr>
  </w:style>
  <w:style w:type="character" w:styleId="1312">
    <w:name w:val="Subtitle Char"/>
    <w:basedOn w:val="1286"/>
    <w:link w:val="1311"/>
    <w:uiPriority w:val="11"/>
    <w:rPr>
      <w:sz w:val="24"/>
      <w:szCs w:val="24"/>
    </w:rPr>
  </w:style>
  <w:style w:type="paragraph" w:styleId="1313">
    <w:name w:val="Quote"/>
    <w:basedOn w:val="1285"/>
    <w:next w:val="1285"/>
    <w:link w:val="1314"/>
    <w:uiPriority w:val="29"/>
    <w:qFormat/>
    <w:pPr>
      <w:ind w:left="720" w:right="720"/>
    </w:pPr>
    <w:rPr>
      <w:i/>
    </w:rPr>
  </w:style>
  <w:style w:type="character" w:styleId="1314">
    <w:name w:val="Quote Char"/>
    <w:link w:val="1313"/>
    <w:uiPriority w:val="29"/>
    <w:rPr>
      <w:i/>
    </w:rPr>
  </w:style>
  <w:style w:type="paragraph" w:styleId="1315">
    <w:name w:val="Intense Quote"/>
    <w:basedOn w:val="1285"/>
    <w:next w:val="1285"/>
    <w:link w:val="13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316">
    <w:name w:val="Intense Quote Char"/>
    <w:link w:val="1315"/>
    <w:uiPriority w:val="30"/>
    <w:rPr>
      <w:i/>
    </w:rPr>
  </w:style>
  <w:style w:type="paragraph" w:styleId="1317">
    <w:name w:val="Header"/>
    <w:basedOn w:val="1285"/>
    <w:link w:val="13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318">
    <w:name w:val="Header Char"/>
    <w:basedOn w:val="1286"/>
    <w:link w:val="1317"/>
    <w:uiPriority w:val="99"/>
  </w:style>
  <w:style w:type="paragraph" w:styleId="1319">
    <w:name w:val="Footer"/>
    <w:basedOn w:val="1285"/>
    <w:link w:val="13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320">
    <w:name w:val="Footer Char"/>
    <w:basedOn w:val="1286"/>
    <w:link w:val="1319"/>
    <w:uiPriority w:val="99"/>
  </w:style>
  <w:style w:type="paragraph" w:styleId="1321">
    <w:name w:val="Caption"/>
    <w:basedOn w:val="1285"/>
    <w:next w:val="1285"/>
    <w:link w:val="13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322">
    <w:name w:val="Caption Char"/>
    <w:basedOn w:val="1286"/>
    <w:link w:val="1321"/>
    <w:uiPriority w:val="35"/>
    <w:rPr>
      <w:b/>
      <w:bCs/>
      <w:color w:val="4f81bd" w:themeColor="accent1"/>
      <w:sz w:val="18"/>
      <w:szCs w:val="18"/>
    </w:rPr>
  </w:style>
  <w:style w:type="table" w:styleId="1323">
    <w:name w:val="Table Grid"/>
    <w:basedOn w:val="13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24">
    <w:name w:val="Table Grid Light"/>
    <w:basedOn w:val="13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25">
    <w:name w:val="Plain Table 1"/>
    <w:basedOn w:val="13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326">
    <w:name w:val="Plain Table 2"/>
    <w:basedOn w:val="13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327">
    <w:name w:val="Plain Table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28">
    <w:name w:val="Plain Table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9">
    <w:name w:val="Plain Table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30">
    <w:name w:val="Grid Table 1 Light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1">
    <w:name w:val="Grid Table 1 Light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2">
    <w:name w:val="Grid Table 1 Light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3">
    <w:name w:val="Grid Table 1 Light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4">
    <w:name w:val="Grid Table 1 Light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5">
    <w:name w:val="Grid Table 1 Light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6">
    <w:name w:val="Grid Table 1 Light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7">
    <w:name w:val="Grid Table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8">
    <w:name w:val="Grid Table 2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9">
    <w:name w:val="Grid Table 2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0">
    <w:name w:val="Grid Table 2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1">
    <w:name w:val="Grid Table 2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2">
    <w:name w:val="Grid Table 2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3">
    <w:name w:val="Grid Table 2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4">
    <w:name w:val="Grid Table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5">
    <w:name w:val="Grid Table 3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6">
    <w:name w:val="Grid Table 3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7">
    <w:name w:val="Grid Table 3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8">
    <w:name w:val="Grid Table 3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9">
    <w:name w:val="Grid Table 3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0">
    <w:name w:val="Grid Table 3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1">
    <w:name w:val="Grid Table 4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52">
    <w:name w:val="Grid Table 4 - Accent 1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353">
    <w:name w:val="Grid Table 4 - Accent 2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354">
    <w:name w:val="Grid Table 4 - Accent 3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355">
    <w:name w:val="Grid Table 4 - Accent 4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356">
    <w:name w:val="Grid Table 4 - Accent 5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357">
    <w:name w:val="Grid Table 4 - Accent 6"/>
    <w:basedOn w:val="13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358">
    <w:name w:val="Grid Table 5 Dark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359">
    <w:name w:val="Grid Table 5 Dark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1360">
    <w:name w:val="Grid Table 5 Dark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361">
    <w:name w:val="Grid Table 5 Dark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362">
    <w:name w:val="Grid Table 5 Dark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363">
    <w:name w:val="Grid Table 5 Dark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1364">
    <w:name w:val="Grid Table 5 Dark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365">
    <w:name w:val="Grid Table 6 Colorful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366">
    <w:name w:val="Grid Table 6 Colorful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367">
    <w:name w:val="Grid Table 6 Colorful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368">
    <w:name w:val="Grid Table 6 Colorful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369">
    <w:name w:val="Grid Table 6 Colorful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370">
    <w:name w:val="Grid Table 6 Colorful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371">
    <w:name w:val="Grid Table 6 Colorful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372">
    <w:name w:val="Grid Table 7 Colorful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3">
    <w:name w:val="Grid Table 7 Colorful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4">
    <w:name w:val="Grid Table 7 Colorful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5">
    <w:name w:val="Grid Table 7 Colorful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6">
    <w:name w:val="Grid Table 7 Colorful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7">
    <w:name w:val="Grid Table 7 Colorful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8">
    <w:name w:val="Grid Table 7 Colorful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9">
    <w:name w:val="List Table 1 Light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0">
    <w:name w:val="List Table 1 Light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1">
    <w:name w:val="List Table 1 Light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2">
    <w:name w:val="List Table 1 Light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3">
    <w:name w:val="List Table 1 Light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4">
    <w:name w:val="List Table 1 Light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5">
    <w:name w:val="List Table 1 Light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6">
    <w:name w:val="List Table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387">
    <w:name w:val="List Table 2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388">
    <w:name w:val="List Table 2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389">
    <w:name w:val="List Table 2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390">
    <w:name w:val="List Table 2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391">
    <w:name w:val="List Table 2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392">
    <w:name w:val="List Table 2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393">
    <w:name w:val="List Table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4">
    <w:name w:val="List Table 3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5">
    <w:name w:val="List Table 3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6">
    <w:name w:val="List Table 3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7">
    <w:name w:val="List Table 3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8">
    <w:name w:val="List Table 3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9">
    <w:name w:val="List Table 3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0">
    <w:name w:val="List Table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1">
    <w:name w:val="List Table 4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2">
    <w:name w:val="List Table 4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3">
    <w:name w:val="List Table 4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4">
    <w:name w:val="List Table 4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5">
    <w:name w:val="List Table 4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6">
    <w:name w:val="List Table 4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7">
    <w:name w:val="List Table 5 Dark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8">
    <w:name w:val="List Table 5 Dark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9">
    <w:name w:val="List Table 5 Dark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0">
    <w:name w:val="List Table 5 Dark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1">
    <w:name w:val="List Table 5 Dark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2">
    <w:name w:val="List Table 5 Dark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3">
    <w:name w:val="List Table 5 Dark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4">
    <w:name w:val="List Table 6 Colorful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5">
    <w:name w:val="List Table 6 Colorful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6">
    <w:name w:val="List Table 6 Colorful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7">
    <w:name w:val="List Table 6 Colorful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8">
    <w:name w:val="List Table 6 Colorful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19">
    <w:name w:val="List Table 6 Colorful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20">
    <w:name w:val="List Table 6 Colorful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21">
    <w:name w:val="List Table 7 Colorful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22">
    <w:name w:val="List Table 7 Colorful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23">
    <w:name w:val="List Table 7 Colorful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424">
    <w:name w:val="List Table 7 Colorful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425">
    <w:name w:val="List Table 7 Colorful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426">
    <w:name w:val="List Table 7 Colorful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427">
    <w:name w:val="List Table 7 Colorful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428">
    <w:name w:val="Lined - Accent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29">
    <w:name w:val="Lined - Accent 1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430">
    <w:name w:val="Lined - Accent 2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431">
    <w:name w:val="Lined - Accent 3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432">
    <w:name w:val="Lined - Accent 4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433">
    <w:name w:val="Lined - Accent 5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434">
    <w:name w:val="Lined - Accent 6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435">
    <w:name w:val="Bordered &amp; Lined - Accent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36">
    <w:name w:val="Bordered &amp; Lined - Accent 1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437">
    <w:name w:val="Bordered &amp; Lined - Accent 2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438">
    <w:name w:val="Bordered &amp; Lined - Accent 3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439">
    <w:name w:val="Bordered &amp; Lined - Accent 4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440">
    <w:name w:val="Bordered &amp; Lined - Accent 5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441">
    <w:name w:val="Bordered &amp; Lined - Accent 6"/>
    <w:basedOn w:val="13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442">
    <w:name w:val="Bordered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443">
    <w:name w:val="Bordered - Accent 1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444">
    <w:name w:val="Bordered - Accent 2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445">
    <w:name w:val="Bordered - Accent 3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446">
    <w:name w:val="Bordered - Accent 4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447">
    <w:name w:val="Bordered - Accent 5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448">
    <w:name w:val="Bordered - Accent 6"/>
    <w:basedOn w:val="13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449">
    <w:name w:val="Hyperlink"/>
    <w:uiPriority w:val="99"/>
    <w:unhideWhenUsed/>
    <w:rPr>
      <w:color w:val="0000ff" w:themeColor="hyperlink"/>
      <w:u w:val="single"/>
    </w:rPr>
  </w:style>
  <w:style w:type="paragraph" w:styleId="1450">
    <w:name w:val="footnote text"/>
    <w:basedOn w:val="1285"/>
    <w:link w:val="1451"/>
    <w:uiPriority w:val="99"/>
    <w:semiHidden/>
    <w:unhideWhenUsed/>
    <w:pPr>
      <w:spacing w:after="40" w:line="240" w:lineRule="auto"/>
    </w:pPr>
    <w:rPr>
      <w:sz w:val="18"/>
    </w:rPr>
  </w:style>
  <w:style w:type="character" w:styleId="1451">
    <w:name w:val="Footnote Text Char"/>
    <w:link w:val="1450"/>
    <w:uiPriority w:val="99"/>
    <w:rPr>
      <w:sz w:val="18"/>
    </w:rPr>
  </w:style>
  <w:style w:type="character" w:styleId="1452">
    <w:name w:val="footnote reference"/>
    <w:basedOn w:val="1286"/>
    <w:uiPriority w:val="99"/>
    <w:unhideWhenUsed/>
    <w:rPr>
      <w:vertAlign w:val="superscript"/>
    </w:rPr>
  </w:style>
  <w:style w:type="paragraph" w:styleId="1453">
    <w:name w:val="endnote text"/>
    <w:basedOn w:val="1285"/>
    <w:link w:val="1454"/>
    <w:uiPriority w:val="99"/>
    <w:semiHidden/>
    <w:unhideWhenUsed/>
    <w:pPr>
      <w:spacing w:after="0" w:line="240" w:lineRule="auto"/>
    </w:pPr>
    <w:rPr>
      <w:sz w:val="20"/>
    </w:rPr>
  </w:style>
  <w:style w:type="character" w:styleId="1454">
    <w:name w:val="Endnote Text Char"/>
    <w:link w:val="1453"/>
    <w:uiPriority w:val="99"/>
    <w:rPr>
      <w:sz w:val="20"/>
    </w:rPr>
  </w:style>
  <w:style w:type="character" w:styleId="1455">
    <w:name w:val="endnote reference"/>
    <w:basedOn w:val="1286"/>
    <w:uiPriority w:val="99"/>
    <w:semiHidden/>
    <w:unhideWhenUsed/>
    <w:rPr>
      <w:vertAlign w:val="superscript"/>
    </w:rPr>
  </w:style>
  <w:style w:type="paragraph" w:styleId="1456">
    <w:name w:val="toc 1"/>
    <w:basedOn w:val="1285"/>
    <w:next w:val="1285"/>
    <w:uiPriority w:val="39"/>
    <w:unhideWhenUsed/>
    <w:pPr>
      <w:ind w:left="0" w:right="0" w:firstLine="0"/>
      <w:spacing w:after="57"/>
    </w:pPr>
  </w:style>
  <w:style w:type="paragraph" w:styleId="1457">
    <w:name w:val="toc 2"/>
    <w:basedOn w:val="1285"/>
    <w:next w:val="1285"/>
    <w:uiPriority w:val="39"/>
    <w:unhideWhenUsed/>
    <w:pPr>
      <w:ind w:left="283" w:right="0" w:firstLine="0"/>
      <w:spacing w:after="57"/>
    </w:pPr>
  </w:style>
  <w:style w:type="paragraph" w:styleId="1458">
    <w:name w:val="toc 3"/>
    <w:basedOn w:val="1285"/>
    <w:next w:val="1285"/>
    <w:uiPriority w:val="39"/>
    <w:unhideWhenUsed/>
    <w:pPr>
      <w:ind w:left="567" w:right="0" w:firstLine="0"/>
      <w:spacing w:after="57"/>
    </w:pPr>
  </w:style>
  <w:style w:type="paragraph" w:styleId="1459">
    <w:name w:val="toc 4"/>
    <w:basedOn w:val="1285"/>
    <w:next w:val="1285"/>
    <w:uiPriority w:val="39"/>
    <w:unhideWhenUsed/>
    <w:pPr>
      <w:ind w:left="850" w:right="0" w:firstLine="0"/>
      <w:spacing w:after="57"/>
    </w:pPr>
  </w:style>
  <w:style w:type="paragraph" w:styleId="1460">
    <w:name w:val="toc 5"/>
    <w:basedOn w:val="1285"/>
    <w:next w:val="1285"/>
    <w:uiPriority w:val="39"/>
    <w:unhideWhenUsed/>
    <w:pPr>
      <w:ind w:left="1134" w:right="0" w:firstLine="0"/>
      <w:spacing w:after="57"/>
    </w:pPr>
  </w:style>
  <w:style w:type="paragraph" w:styleId="1461">
    <w:name w:val="toc 6"/>
    <w:basedOn w:val="1285"/>
    <w:next w:val="1285"/>
    <w:uiPriority w:val="39"/>
    <w:unhideWhenUsed/>
    <w:pPr>
      <w:ind w:left="1417" w:right="0" w:firstLine="0"/>
      <w:spacing w:after="57"/>
    </w:pPr>
  </w:style>
  <w:style w:type="paragraph" w:styleId="1462">
    <w:name w:val="toc 7"/>
    <w:basedOn w:val="1285"/>
    <w:next w:val="1285"/>
    <w:uiPriority w:val="39"/>
    <w:unhideWhenUsed/>
    <w:pPr>
      <w:ind w:left="1701" w:right="0" w:firstLine="0"/>
      <w:spacing w:after="57"/>
    </w:pPr>
  </w:style>
  <w:style w:type="paragraph" w:styleId="1463">
    <w:name w:val="toc 8"/>
    <w:basedOn w:val="1285"/>
    <w:next w:val="1285"/>
    <w:uiPriority w:val="39"/>
    <w:unhideWhenUsed/>
    <w:pPr>
      <w:ind w:left="1984" w:right="0" w:firstLine="0"/>
      <w:spacing w:after="57"/>
    </w:pPr>
  </w:style>
  <w:style w:type="paragraph" w:styleId="1464">
    <w:name w:val="toc 9"/>
    <w:basedOn w:val="1285"/>
    <w:next w:val="1285"/>
    <w:uiPriority w:val="39"/>
    <w:unhideWhenUsed/>
    <w:pPr>
      <w:ind w:left="2268" w:right="0" w:firstLine="0"/>
      <w:spacing w:after="57"/>
    </w:pPr>
  </w:style>
  <w:style w:type="paragraph" w:styleId="1465">
    <w:name w:val="TOC Heading"/>
    <w:uiPriority w:val="39"/>
    <w:unhideWhenUsed/>
  </w:style>
  <w:style w:type="paragraph" w:styleId="1466">
    <w:name w:val="table of figures"/>
    <w:basedOn w:val="1285"/>
    <w:next w:val="1285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EFC7C-84A7-4E8B-BCEE-F3226E6FC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Ruslana</dc:creator>
  <cp:keywords/>
  <dc:description/>
  <cp:lastModifiedBy>Руслана Слепушкина</cp:lastModifiedBy>
  <cp:revision>5</cp:revision>
  <dcterms:created xsi:type="dcterms:W3CDTF">2025-11-14T06:56:00Z</dcterms:created>
  <dcterms:modified xsi:type="dcterms:W3CDTF">2025-11-14T12:33:55Z</dcterms:modified>
</cp:coreProperties>
</file>